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16" w:rsidRPr="00D72416" w:rsidRDefault="00D72416" w:rsidP="00D72416">
      <w:pPr>
        <w:spacing w:after="0" w:line="240" w:lineRule="auto"/>
        <w:rPr>
          <w:rFonts w:eastAsia="Times New Roman" w:cstheme="minorHAnsi"/>
          <w:sz w:val="28"/>
          <w:szCs w:val="28"/>
        </w:rPr>
      </w:pPr>
      <w:r w:rsidRPr="00D72416">
        <w:rPr>
          <w:rFonts w:eastAsia="Times New Roman" w:cstheme="minorHAnsi"/>
          <w:b/>
          <w:bCs/>
          <w:color w:val="000000"/>
          <w:sz w:val="28"/>
          <w:szCs w:val="28"/>
        </w:rPr>
        <w:t xml:space="preserve">Project 2: Directions. Usage Research Data Elicitation and Analysis </w:t>
      </w:r>
    </w:p>
    <w:p w:rsidR="00D72416" w:rsidRDefault="00D72416" w:rsidP="00D72416">
      <w:pPr>
        <w:spacing w:after="0" w:line="240" w:lineRule="auto"/>
        <w:rPr>
          <w:rFonts w:eastAsia="Times New Roman" w:cstheme="minorHAnsi"/>
          <w:b/>
          <w:bCs/>
          <w:color w:val="000000"/>
        </w:rPr>
      </w:pP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Product Concept Statement</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The proposed product is a mobile app which will support the efforts of health care students who are participating in their supervised clinical practice experiences (SCPEs).  Several medical professions require student practitioners to document their daily clinical experiences as part of their training for both graduation and licensure. </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Current clinical documentation software exists largely in the desktop/laptop computer format, with a gap in the offering of a mobile app. O’Connor and Andrews (2018, p. 172) state that the use of mobile apps to enhance clinical education has not been explored, and these apps could benefit the acquisition of knowledge and skills in clinical settings.</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This project will be aimed at the mobile device-savvy Gen Z students as they experience the clinical environment. Pre-filled questions and multiple-choice selections will be employed when possible, with spaces available for students to briefly discuss their clinical experiences each day.</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Preparation for Usage Research Data Elicitation</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 xml:space="preserve">The team met to discuss plans for data elicitation to learn more about the work practices of both faculty and students with respect to logging patient encounters during SCPEs.  As advised by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&amp; </w:t>
      </w:r>
      <w:proofErr w:type="spellStart"/>
      <w:r w:rsidRPr="00D72416">
        <w:rPr>
          <w:rFonts w:eastAsia="Times New Roman" w:cstheme="minorHAnsi"/>
          <w:color w:val="000000"/>
        </w:rPr>
        <w:t>Pyla</w:t>
      </w:r>
      <w:proofErr w:type="spellEnd"/>
      <w:r w:rsidRPr="00D72416">
        <w:rPr>
          <w:rFonts w:eastAsia="Times New Roman" w:cstheme="minorHAnsi"/>
          <w:color w:val="000000"/>
        </w:rPr>
        <w:t xml:space="preserve"> (2019, p. 124) the team researched the field of Physician Assistant Studies, the concept and rationale of SCPEs, as well as terminology used by practitioners in the field. According to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&amp; </w:t>
      </w:r>
      <w:proofErr w:type="spellStart"/>
      <w:r w:rsidRPr="00D72416">
        <w:rPr>
          <w:rFonts w:eastAsia="Times New Roman" w:cstheme="minorHAnsi"/>
          <w:color w:val="000000"/>
        </w:rPr>
        <w:t>Pyla</w:t>
      </w:r>
      <w:proofErr w:type="spellEnd"/>
      <w:r w:rsidRPr="00D72416">
        <w:rPr>
          <w:rFonts w:eastAsia="Times New Roman" w:cstheme="minorHAnsi"/>
          <w:color w:val="000000"/>
        </w:rPr>
        <w:t xml:space="preserve"> (2019), researching in advance will give the team a better understanding of the work practices as well as shorten the amount of time utilized in data elicitation.</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u w:val="single"/>
        </w:rPr>
        <w:t>Tactical goals (</w:t>
      </w:r>
      <w:proofErr w:type="spellStart"/>
      <w:r w:rsidRPr="00D72416">
        <w:rPr>
          <w:rFonts w:eastAsia="Times New Roman" w:cstheme="minorHAnsi"/>
          <w:color w:val="000000"/>
          <w:u w:val="single"/>
        </w:rPr>
        <w:t>Hartson</w:t>
      </w:r>
      <w:proofErr w:type="spellEnd"/>
      <w:r w:rsidRPr="00D72416">
        <w:rPr>
          <w:rFonts w:eastAsia="Times New Roman" w:cstheme="minorHAnsi"/>
          <w:color w:val="000000"/>
          <w:u w:val="single"/>
        </w:rPr>
        <w:t xml:space="preserve"> &amp; </w:t>
      </w:r>
      <w:proofErr w:type="spellStart"/>
      <w:r w:rsidRPr="00D72416">
        <w:rPr>
          <w:rFonts w:eastAsia="Times New Roman" w:cstheme="minorHAnsi"/>
          <w:color w:val="000000"/>
          <w:u w:val="single"/>
        </w:rPr>
        <w:t>Pyla</w:t>
      </w:r>
      <w:proofErr w:type="spellEnd"/>
      <w:r w:rsidRPr="00D72416">
        <w:rPr>
          <w:rFonts w:eastAsia="Times New Roman" w:cstheme="minorHAnsi"/>
          <w:color w:val="000000"/>
          <w:u w:val="single"/>
        </w:rPr>
        <w:t>, 2019, p. 122) for data elicitation from the School perspective are to learn:</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How clinical rotations work for the Physician Assistants Studies program </w:t>
      </w:r>
      <w:r w:rsidRPr="00D72416">
        <w:rPr>
          <w:rFonts w:eastAsia="Times New Roman" w:cstheme="minorHAnsi"/>
          <w:i/>
          <w:iCs/>
          <w:color w:val="000000"/>
        </w:rPr>
        <w:t>(work practice ecology, p. 122)</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What defines a SCPE, requirements of the program, school and the accrediting bodies, and other possible licensure requirements</w:t>
      </w:r>
      <w:r w:rsidRPr="00D72416">
        <w:rPr>
          <w:rFonts w:eastAsia="Times New Roman" w:cstheme="minorHAnsi"/>
          <w:i/>
          <w:iCs/>
          <w:color w:val="000000"/>
        </w:rPr>
        <w:t xml:space="preserve"> (work practice ecology, p. 122)</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How SCPEs are obtained (school assigned, student arranged, </w:t>
      </w:r>
      <w:proofErr w:type="spellStart"/>
      <w:r w:rsidRPr="00D72416">
        <w:rPr>
          <w:rFonts w:eastAsia="Times New Roman" w:cstheme="minorHAnsi"/>
          <w:color w:val="000000"/>
        </w:rPr>
        <w:t>etc</w:t>
      </w:r>
      <w:proofErr w:type="spellEnd"/>
      <w:r w:rsidRPr="00D72416">
        <w:rPr>
          <w:rFonts w:eastAsia="Times New Roman" w:cstheme="minorHAnsi"/>
          <w:color w:val="000000"/>
        </w:rPr>
        <w:t xml:space="preserve">) </w:t>
      </w:r>
      <w:r w:rsidRPr="00D72416">
        <w:rPr>
          <w:rFonts w:eastAsia="Times New Roman" w:cstheme="minorHAnsi"/>
          <w:i/>
          <w:iCs/>
          <w:color w:val="000000"/>
        </w:rPr>
        <w:t>(information hierarchies and work flows, p. 122)</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Where SCPE sites are located, along with the number and types of SCPEs students must complete</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Where SCPEs are positioned within the PA curriculum </w:t>
      </w:r>
      <w:r w:rsidRPr="00D72416">
        <w:rPr>
          <w:rFonts w:eastAsia="Times New Roman" w:cstheme="minorHAnsi"/>
          <w:i/>
          <w:iCs/>
          <w:color w:val="000000"/>
        </w:rPr>
        <w:t>(information hierarchies and work flows, p. 122)</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would make clinical documentation more streamlined for faculty </w:t>
      </w:r>
      <w:r w:rsidRPr="00D72416">
        <w:rPr>
          <w:rFonts w:eastAsia="Times New Roman" w:cstheme="minorHAnsi"/>
          <w:i/>
          <w:iCs/>
          <w:color w:val="000000"/>
        </w:rPr>
        <w:t>(information hierarchies and work flows, p. 122)</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sort of documentation method for patient encounters is currently being used during SCPEs, and how can one improve upon it </w:t>
      </w:r>
      <w:r w:rsidRPr="00D72416">
        <w:rPr>
          <w:rFonts w:eastAsia="Times New Roman" w:cstheme="minorHAnsi"/>
          <w:i/>
          <w:iCs/>
          <w:color w:val="000000"/>
        </w:rPr>
        <w:t>(understanding market trends and forces, p. 123)</w:t>
      </w:r>
    </w:p>
    <w:p w:rsidR="00D72416" w:rsidRPr="00D72416" w:rsidRDefault="00D72416" w:rsidP="00D72416">
      <w:pPr>
        <w:numPr>
          <w:ilvl w:val="0"/>
          <w:numId w:val="1"/>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are other PA programs using for documentation during SCPEs </w:t>
      </w:r>
      <w:r w:rsidRPr="00D72416">
        <w:rPr>
          <w:rFonts w:eastAsia="Times New Roman" w:cstheme="minorHAnsi"/>
          <w:i/>
          <w:iCs/>
          <w:color w:val="000000"/>
        </w:rPr>
        <w:t>(understanding market trends and forces, p. 123)</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u w:val="single"/>
        </w:rPr>
        <w:t>Tactical goals for data elicitation from the student perspective are to learn:</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How students view the SCPE </w:t>
      </w:r>
      <w:r w:rsidRPr="00D72416">
        <w:rPr>
          <w:rFonts w:eastAsia="Times New Roman" w:cstheme="minorHAnsi"/>
          <w:i/>
          <w:iCs/>
          <w:color w:val="000000"/>
        </w:rPr>
        <w:t>(work practice ecology, p. 122)</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are some challenges to patient encounter documentation during SCPEs </w:t>
      </w:r>
      <w:r w:rsidRPr="00D72416">
        <w:rPr>
          <w:rFonts w:eastAsia="Times New Roman" w:cstheme="minorHAnsi"/>
          <w:i/>
          <w:iCs/>
          <w:color w:val="000000"/>
        </w:rPr>
        <w:t>(work practice ecology, p. 122)</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How often are students expected to complete clinical documentation </w:t>
      </w:r>
      <w:r w:rsidRPr="00D72416">
        <w:rPr>
          <w:rFonts w:eastAsia="Times New Roman" w:cstheme="minorHAnsi"/>
          <w:i/>
          <w:iCs/>
          <w:color w:val="000000"/>
        </w:rPr>
        <w:t>(information hierarchies and work flows, p. 122)</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lastRenderedPageBreak/>
        <w:t xml:space="preserve">If/how feedback is offered by instructors </w:t>
      </w:r>
      <w:r w:rsidRPr="00D72416">
        <w:rPr>
          <w:rFonts w:eastAsia="Times New Roman" w:cstheme="minorHAnsi"/>
          <w:i/>
          <w:iCs/>
          <w:color w:val="000000"/>
        </w:rPr>
        <w:t>(information hierarchies and work flows, p. 122)</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would make clinical documentation more user friendly and convenient for students to complete </w:t>
      </w:r>
      <w:r w:rsidRPr="00D72416">
        <w:rPr>
          <w:rFonts w:eastAsia="Times New Roman" w:cstheme="minorHAnsi"/>
          <w:i/>
          <w:iCs/>
          <w:color w:val="000000"/>
        </w:rPr>
        <w:t>(understanding market trends and forces, p. 123)</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What are peers using at other institutions </w:t>
      </w:r>
      <w:r w:rsidRPr="00D72416">
        <w:rPr>
          <w:rFonts w:eastAsia="Times New Roman" w:cstheme="minorHAnsi"/>
          <w:i/>
          <w:iCs/>
          <w:color w:val="000000"/>
        </w:rPr>
        <w:t>(understanding market trends and forces, p. 123)</w:t>
      </w:r>
    </w:p>
    <w:p w:rsidR="00D72416" w:rsidRPr="00D72416" w:rsidRDefault="00D72416" w:rsidP="00D72416">
      <w:pPr>
        <w:numPr>
          <w:ilvl w:val="0"/>
          <w:numId w:val="2"/>
        </w:numPr>
        <w:spacing w:after="0" w:line="240" w:lineRule="auto"/>
        <w:textAlignment w:val="baseline"/>
        <w:rPr>
          <w:rFonts w:eastAsia="Times New Roman" w:cstheme="minorHAnsi"/>
          <w:color w:val="000000"/>
        </w:rPr>
      </w:pPr>
      <w:r w:rsidRPr="00D72416">
        <w:rPr>
          <w:rFonts w:eastAsia="Times New Roman" w:cstheme="minorHAnsi"/>
          <w:color w:val="000000"/>
        </w:rPr>
        <w:t>What documentation methods are currently being used and how could they be improved</w:t>
      </w:r>
    </w:p>
    <w:p w:rsidR="00D72416" w:rsidRPr="00D72416" w:rsidRDefault="00D72416" w:rsidP="00D72416">
      <w:pPr>
        <w:spacing w:after="0" w:line="240" w:lineRule="auto"/>
        <w:ind w:left="720"/>
        <w:rPr>
          <w:rFonts w:eastAsia="Times New Roman" w:cstheme="minorHAnsi"/>
        </w:rPr>
      </w:pPr>
      <w:r w:rsidRPr="00D72416">
        <w:rPr>
          <w:rFonts w:eastAsia="Times New Roman" w:cstheme="minorHAnsi"/>
          <w:color w:val="000000"/>
        </w:rPr>
        <w:t xml:space="preserve">upon </w:t>
      </w:r>
      <w:r w:rsidRPr="00D72416">
        <w:rPr>
          <w:rFonts w:eastAsia="Times New Roman" w:cstheme="minorHAnsi"/>
          <w:i/>
          <w:iCs/>
          <w:color w:val="000000"/>
        </w:rPr>
        <w:t>(understanding market trends and forces, p. 123)</w:t>
      </w:r>
    </w:p>
    <w:p w:rsidR="00D72416" w:rsidRPr="00D72416" w:rsidRDefault="00D72416" w:rsidP="00D72416">
      <w:pPr>
        <w:spacing w:after="0" w:line="240" w:lineRule="auto"/>
        <w:rPr>
          <w:rFonts w:eastAsia="Times New Roman" w:cstheme="minorHAnsi"/>
        </w:rPr>
      </w:pP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Client and User Interviews</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r w:rsidRPr="00D72416">
        <w:rPr>
          <w:rFonts w:eastAsia="Times New Roman" w:cstheme="minorHAnsi"/>
          <w:color w:val="000000"/>
        </w:rPr>
        <w:tab/>
        <w:t>The team met with one client representative and two student users, garnering a great deal of insight and useful data to use in development of the clinical documentation mobile app. </w:t>
      </w:r>
    </w:p>
    <w:p w:rsidR="00D72416" w:rsidRDefault="00D72416" w:rsidP="00D72416">
      <w:pPr>
        <w:spacing w:after="0" w:line="240" w:lineRule="auto"/>
        <w:rPr>
          <w:rFonts w:eastAsia="Times New Roman" w:cstheme="minorHAnsi"/>
          <w:color w:val="000000"/>
          <w:u w:val="single"/>
        </w:rPr>
      </w:pP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u w:val="single"/>
        </w:rPr>
        <w:t>Client Contact</w:t>
      </w:r>
    </w:p>
    <w:p w:rsidR="00D72416" w:rsidRPr="00D72416" w:rsidRDefault="00D72416" w:rsidP="00D72416">
      <w:pPr>
        <w:numPr>
          <w:ilvl w:val="0"/>
          <w:numId w:val="3"/>
        </w:numPr>
        <w:spacing w:after="0" w:line="240" w:lineRule="auto"/>
        <w:textAlignment w:val="baseline"/>
        <w:rPr>
          <w:rFonts w:eastAsia="Times New Roman" w:cstheme="minorHAnsi"/>
          <w:color w:val="000000"/>
        </w:rPr>
      </w:pPr>
      <w:r w:rsidRPr="00D72416">
        <w:rPr>
          <w:rFonts w:eastAsia="Times New Roman" w:cstheme="minorHAnsi"/>
          <w:color w:val="000000"/>
        </w:rPr>
        <w:t>Courtney Hartman, MPA, PA-C</w:t>
      </w:r>
    </w:p>
    <w:p w:rsidR="00D72416" w:rsidRPr="00D72416" w:rsidRDefault="00D72416" w:rsidP="00D72416">
      <w:pPr>
        <w:numPr>
          <w:ilvl w:val="0"/>
          <w:numId w:val="3"/>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Director of Clinical Education, PA Program, Duquesne </w:t>
      </w:r>
      <w:proofErr w:type="gramStart"/>
      <w:r w:rsidRPr="00D72416">
        <w:rPr>
          <w:rFonts w:eastAsia="Times New Roman" w:cstheme="minorHAnsi"/>
          <w:color w:val="000000"/>
        </w:rPr>
        <w:t>University  </w:t>
      </w:r>
      <w:r w:rsidRPr="00D72416">
        <w:rPr>
          <w:rFonts w:eastAsia="Times New Roman" w:cstheme="minorHAnsi"/>
          <w:color w:val="000000"/>
          <w:shd w:val="clear" w:color="auto" w:fill="FFFFFF"/>
        </w:rPr>
        <w:t>412.396.5916</w:t>
      </w:r>
      <w:proofErr w:type="gramEnd"/>
      <w:r w:rsidRPr="00D72416">
        <w:rPr>
          <w:rFonts w:eastAsia="Times New Roman" w:cstheme="minorHAnsi"/>
          <w:color w:val="000000"/>
          <w:shd w:val="clear" w:color="auto" w:fill="FFFFFF"/>
        </w:rPr>
        <w:t> </w:t>
      </w:r>
    </w:p>
    <w:p w:rsidR="00D72416" w:rsidRPr="00D72416" w:rsidRDefault="00D72416" w:rsidP="00D72416">
      <w:pPr>
        <w:numPr>
          <w:ilvl w:val="0"/>
          <w:numId w:val="3"/>
        </w:numPr>
        <w:spacing w:after="0" w:line="240" w:lineRule="auto"/>
        <w:textAlignment w:val="baseline"/>
        <w:rPr>
          <w:rFonts w:eastAsia="Times New Roman" w:cstheme="minorHAnsi"/>
          <w:color w:val="000000"/>
        </w:rPr>
      </w:pPr>
      <w:r w:rsidRPr="00D72416">
        <w:rPr>
          <w:rFonts w:eastAsia="Times New Roman" w:cstheme="minorHAnsi"/>
          <w:color w:val="000000"/>
          <w:shd w:val="clear" w:color="auto" w:fill="FFFFFF"/>
        </w:rPr>
        <w:t>hartma10@duq.edu</w:t>
      </w:r>
    </w:p>
    <w:p w:rsidR="00D72416" w:rsidRPr="00D72416" w:rsidRDefault="00D72416" w:rsidP="00D72416">
      <w:pPr>
        <w:shd w:val="clear" w:color="auto" w:fill="FFFFFF"/>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hd w:val="clear" w:color="auto" w:fill="FFFFFF"/>
        <w:spacing w:after="0" w:line="240" w:lineRule="auto"/>
        <w:rPr>
          <w:rFonts w:eastAsia="Times New Roman" w:cstheme="minorHAnsi"/>
        </w:rPr>
      </w:pPr>
      <w:r w:rsidRPr="00D72416">
        <w:rPr>
          <w:rFonts w:eastAsia="Times New Roman" w:cstheme="minorHAnsi"/>
          <w:color w:val="000000"/>
          <w:u w:val="single"/>
        </w:rPr>
        <w:t>Responsibilities</w:t>
      </w:r>
    </w:p>
    <w:p w:rsidR="00D72416" w:rsidRPr="00D72416" w:rsidRDefault="00D72416" w:rsidP="00D72416">
      <w:pPr>
        <w:numPr>
          <w:ilvl w:val="0"/>
          <w:numId w:val="4"/>
        </w:numPr>
        <w:shd w:val="clear" w:color="auto" w:fill="FFFFFF"/>
        <w:spacing w:after="0" w:line="240" w:lineRule="auto"/>
        <w:textAlignment w:val="baseline"/>
        <w:rPr>
          <w:rFonts w:eastAsia="Times New Roman" w:cstheme="minorHAnsi"/>
          <w:color w:val="000000"/>
        </w:rPr>
      </w:pPr>
      <w:r w:rsidRPr="00D72416">
        <w:rPr>
          <w:rFonts w:eastAsia="Times New Roman" w:cstheme="minorHAnsi"/>
          <w:color w:val="000000"/>
        </w:rPr>
        <w:t>Coordination and supervision of the Clinical Phase of the PA Program.</w:t>
      </w:r>
    </w:p>
    <w:p w:rsidR="00D72416" w:rsidRPr="00D72416" w:rsidRDefault="00D72416" w:rsidP="00D72416">
      <w:pPr>
        <w:numPr>
          <w:ilvl w:val="0"/>
          <w:numId w:val="4"/>
        </w:numPr>
        <w:spacing w:after="0" w:line="240" w:lineRule="auto"/>
        <w:textAlignment w:val="baseline"/>
        <w:rPr>
          <w:rFonts w:eastAsia="Times New Roman" w:cstheme="minorHAnsi"/>
          <w:color w:val="000000"/>
        </w:rPr>
      </w:pPr>
      <w:r w:rsidRPr="00D72416">
        <w:rPr>
          <w:rFonts w:eastAsia="Times New Roman" w:cstheme="minorHAnsi"/>
          <w:color w:val="000000"/>
        </w:rPr>
        <w:t>Prepares syllabi and learning objectives for all courses in the Clinical Phase of the program.</w:t>
      </w:r>
    </w:p>
    <w:p w:rsidR="00D72416" w:rsidRPr="00D72416" w:rsidRDefault="00D72416" w:rsidP="00D72416">
      <w:pPr>
        <w:numPr>
          <w:ilvl w:val="0"/>
          <w:numId w:val="4"/>
        </w:numPr>
        <w:spacing w:after="0" w:line="240" w:lineRule="auto"/>
        <w:textAlignment w:val="baseline"/>
        <w:rPr>
          <w:rFonts w:eastAsia="Times New Roman" w:cstheme="minorHAnsi"/>
          <w:color w:val="000000"/>
        </w:rPr>
      </w:pPr>
      <w:r w:rsidRPr="00D72416">
        <w:rPr>
          <w:rFonts w:eastAsia="Times New Roman" w:cstheme="minorHAnsi"/>
          <w:color w:val="000000"/>
        </w:rPr>
        <w:t>Provides analysis of supervised clinical practice experiences for appropriateness of settings, patient encounters, clinical skills, diagnoses, and competencies.</w:t>
      </w:r>
    </w:p>
    <w:p w:rsidR="00D72416" w:rsidRPr="00D72416" w:rsidRDefault="00D72416" w:rsidP="00D72416">
      <w:pPr>
        <w:numPr>
          <w:ilvl w:val="0"/>
          <w:numId w:val="4"/>
        </w:numPr>
        <w:spacing w:after="0" w:line="240" w:lineRule="auto"/>
        <w:textAlignment w:val="baseline"/>
        <w:rPr>
          <w:rFonts w:eastAsia="Times New Roman" w:cstheme="minorHAnsi"/>
          <w:color w:val="000000"/>
        </w:rPr>
      </w:pPr>
      <w:r w:rsidRPr="00D72416">
        <w:rPr>
          <w:rFonts w:eastAsia="Times New Roman" w:cstheme="minorHAnsi"/>
          <w:color w:val="000000"/>
        </w:rPr>
        <w:t>Schedule required and elective supervised clinical experiences, coordinating the distribution of students for appropriateness of clinical experiences.</w:t>
      </w:r>
    </w:p>
    <w:p w:rsidR="00D72416" w:rsidRPr="00D72416" w:rsidRDefault="00D72416" w:rsidP="00D72416">
      <w:pPr>
        <w:numPr>
          <w:ilvl w:val="0"/>
          <w:numId w:val="4"/>
        </w:numPr>
        <w:spacing w:after="0" w:line="240" w:lineRule="auto"/>
        <w:textAlignment w:val="baseline"/>
        <w:rPr>
          <w:rFonts w:eastAsia="Times New Roman" w:cstheme="minorHAnsi"/>
          <w:color w:val="000000"/>
        </w:rPr>
      </w:pPr>
      <w:r w:rsidRPr="00D72416">
        <w:rPr>
          <w:rFonts w:eastAsia="Times New Roman" w:cstheme="minorHAnsi"/>
          <w:color w:val="000000"/>
        </w:rPr>
        <w:t>Analyzes clinical curriculum outcomes for review at committee meeting and by the Program Director.</w:t>
      </w:r>
    </w:p>
    <w:p w:rsidR="00D72416" w:rsidRPr="00D72416" w:rsidRDefault="00D72416" w:rsidP="00D72416">
      <w:pPr>
        <w:numPr>
          <w:ilvl w:val="0"/>
          <w:numId w:val="4"/>
        </w:numPr>
        <w:spacing w:after="0" w:line="240" w:lineRule="auto"/>
        <w:textAlignment w:val="baseline"/>
        <w:rPr>
          <w:rFonts w:eastAsia="Times New Roman" w:cstheme="minorHAnsi"/>
          <w:color w:val="000000"/>
        </w:rPr>
      </w:pPr>
      <w:r w:rsidRPr="00D72416">
        <w:rPr>
          <w:rFonts w:eastAsia="Times New Roman" w:cstheme="minorHAnsi"/>
          <w:color w:val="000000"/>
        </w:rPr>
        <w:t>Provides analysis of supervised clinical practice experiences for appropriateness of settings, patient encounters, clinical skills, diagnoses, and competencies.</w:t>
      </w:r>
    </w:p>
    <w:p w:rsidR="00D72416" w:rsidRPr="00D72416" w:rsidRDefault="00D72416" w:rsidP="00D72416">
      <w:pPr>
        <w:spacing w:after="0" w:line="240" w:lineRule="auto"/>
        <w:rPr>
          <w:rFonts w:eastAsia="Times New Roman" w:cstheme="minorHAnsi"/>
        </w:rPr>
      </w:pP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u w:val="single"/>
        </w:rPr>
        <w:t>Student Users</w:t>
      </w:r>
    </w:p>
    <w:p w:rsidR="00D72416" w:rsidRPr="00D72416" w:rsidRDefault="00D72416" w:rsidP="00D72416">
      <w:pPr>
        <w:numPr>
          <w:ilvl w:val="0"/>
          <w:numId w:val="5"/>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Samantha </w:t>
      </w:r>
      <w:proofErr w:type="spellStart"/>
      <w:r w:rsidRPr="00D72416">
        <w:rPr>
          <w:rFonts w:eastAsia="Times New Roman" w:cstheme="minorHAnsi"/>
          <w:color w:val="000000"/>
        </w:rPr>
        <w:t>Studentowicz</w:t>
      </w:r>
      <w:proofErr w:type="spellEnd"/>
      <w:r w:rsidRPr="00D72416">
        <w:rPr>
          <w:rFonts w:eastAsia="Times New Roman" w:cstheme="minorHAnsi"/>
          <w:color w:val="000000"/>
        </w:rPr>
        <w:t xml:space="preserve"> (year 5) currently in her Women’s Health SCPE at UPMC Mercy Hospital</w:t>
      </w:r>
    </w:p>
    <w:p w:rsidR="00D72416" w:rsidRPr="00D72416" w:rsidRDefault="00D72416" w:rsidP="00D72416">
      <w:pPr>
        <w:numPr>
          <w:ilvl w:val="0"/>
          <w:numId w:val="5"/>
        </w:numPr>
        <w:spacing w:after="0" w:line="240" w:lineRule="auto"/>
        <w:textAlignment w:val="baseline"/>
        <w:rPr>
          <w:rFonts w:eastAsia="Times New Roman" w:cstheme="minorHAnsi"/>
          <w:color w:val="000000"/>
        </w:rPr>
      </w:pPr>
      <w:r w:rsidRPr="00D72416">
        <w:rPr>
          <w:rFonts w:eastAsia="Times New Roman" w:cstheme="minorHAnsi"/>
          <w:color w:val="000000"/>
        </w:rPr>
        <w:t xml:space="preserve">Dennis </w:t>
      </w:r>
      <w:proofErr w:type="spellStart"/>
      <w:r w:rsidRPr="00D72416">
        <w:rPr>
          <w:rFonts w:eastAsia="Times New Roman" w:cstheme="minorHAnsi"/>
          <w:color w:val="000000"/>
        </w:rPr>
        <w:t>DeStudent</w:t>
      </w:r>
      <w:proofErr w:type="spellEnd"/>
      <w:r w:rsidRPr="00D72416">
        <w:rPr>
          <w:rFonts w:eastAsia="Times New Roman" w:cstheme="minorHAnsi"/>
          <w:color w:val="000000"/>
        </w:rPr>
        <w:t xml:space="preserve"> (year 5) currently in her Emergency Medicine SCPE at Allegheny General Hospital</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Building the WAAD</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 xml:space="preserve">Taking the data learned from client and student interviews, the team began making sense of the work activity by creating a Work Activity Affinity Diagram (WAAD), as described by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&amp; </w:t>
      </w:r>
      <w:proofErr w:type="spellStart"/>
      <w:r w:rsidRPr="00D72416">
        <w:rPr>
          <w:rFonts w:eastAsia="Times New Roman" w:cstheme="minorHAnsi"/>
          <w:color w:val="000000"/>
        </w:rPr>
        <w:t>Pyla</w:t>
      </w:r>
      <w:proofErr w:type="spellEnd"/>
      <w:r w:rsidRPr="00D72416">
        <w:rPr>
          <w:rFonts w:eastAsia="Times New Roman" w:cstheme="minorHAnsi"/>
          <w:color w:val="000000"/>
        </w:rPr>
        <w:t xml:space="preserve"> (2019, p. 154) with the goal of sorting and analyzing the sample of work activity notes. </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 xml:space="preserve">Work activity notes are typed into a laptop, since it will make the analysis process more manageable for the team and </w:t>
      </w:r>
      <w:proofErr w:type="gramStart"/>
      <w:r w:rsidRPr="00D72416">
        <w:rPr>
          <w:rFonts w:eastAsia="Times New Roman" w:cstheme="minorHAnsi"/>
          <w:color w:val="000000"/>
        </w:rPr>
        <w:t>will  “</w:t>
      </w:r>
      <w:proofErr w:type="gramEnd"/>
      <w:r w:rsidRPr="00D72416">
        <w:rPr>
          <w:rFonts w:eastAsia="Times New Roman" w:cstheme="minorHAnsi"/>
          <w:color w:val="000000"/>
        </w:rPr>
        <w:t>facilitate sharing, manipulating, and printing as needed” (p. 146). </w:t>
      </w:r>
    </w:p>
    <w:p w:rsidR="00D72416" w:rsidRDefault="00D72416" w:rsidP="00D72416">
      <w:pPr>
        <w:spacing w:after="0" w:line="240" w:lineRule="auto"/>
        <w:ind w:firstLine="720"/>
        <w:rPr>
          <w:rFonts w:eastAsia="Times New Roman" w:cstheme="minorHAnsi"/>
          <w:color w:val="000000"/>
        </w:rPr>
      </w:pPr>
      <w:r w:rsidRPr="00D72416">
        <w:rPr>
          <w:rFonts w:eastAsia="Times New Roman" w:cstheme="minorHAnsi"/>
          <w:color w:val="000000"/>
        </w:rPr>
        <w:t>Additionally, each work activity note is clear and specific, “retaining the original meaning and remaining true to the user’s intentions” (p. 147).</w:t>
      </w:r>
      <w:r>
        <w:rPr>
          <w:rFonts w:eastAsia="Times New Roman" w:cstheme="minorHAnsi"/>
          <w:color w:val="000000"/>
        </w:rPr>
        <w:t xml:space="preserve"> </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Once the cards are sorted and categorized hierarchically by emerging themes, the team compiles them into a spreadsheet for further analysis. The team starts with the full set of notes that were extracted from the raw usage research data (p. 151). This step will help the team to synthesize information gained from all of the inputs, as well as their own observations, and will contribute to a better understanding of the whole concept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&amp; </w:t>
      </w:r>
      <w:proofErr w:type="spellStart"/>
      <w:r w:rsidRPr="00D72416">
        <w:rPr>
          <w:rFonts w:eastAsia="Times New Roman" w:cstheme="minorHAnsi"/>
          <w:color w:val="000000"/>
        </w:rPr>
        <w:t>Pyla</w:t>
      </w:r>
      <w:proofErr w:type="spellEnd"/>
      <w:r w:rsidRPr="00D72416">
        <w:rPr>
          <w:rFonts w:eastAsia="Times New Roman" w:cstheme="minorHAnsi"/>
          <w:color w:val="000000"/>
        </w:rPr>
        <w:t>, 2019, p. 176). An example of notes taken to create the WAAD is presented below:</w:t>
      </w:r>
    </w:p>
    <w:p w:rsidR="00D72416" w:rsidRPr="00D72416" w:rsidRDefault="00D72416" w:rsidP="00D72416">
      <w:pPr>
        <w:spacing w:after="0" w:line="240" w:lineRule="auto"/>
        <w:jc w:val="center"/>
        <w:rPr>
          <w:rFonts w:eastAsia="Times New Roman" w:cstheme="minorHAnsi"/>
        </w:rPr>
      </w:pPr>
      <w:r w:rsidRPr="00D72416">
        <w:rPr>
          <w:rFonts w:eastAsia="Times New Roman" w:cstheme="minorHAnsi"/>
          <w:noProof/>
          <w:color w:val="000000"/>
          <w:bdr w:val="none" w:sz="0" w:space="0" w:color="auto" w:frame="1"/>
        </w:rPr>
        <w:drawing>
          <wp:inline distT="0" distB="0" distL="0" distR="0">
            <wp:extent cx="5335270" cy="2496820"/>
            <wp:effectExtent l="0" t="0" r="0" b="0"/>
            <wp:docPr id="2" name="Picture 2" descr="https://lh4.googleusercontent.com/oeI4lPA2UtxQrzBbAjc2JeWnfrzPMddVit_k455X6AZ7c6f0vweb9syHMIwSYobYgoiQRtHh6ZIrgz4cV94f6_J2wDUz6BzZbIo8B2sXX_tgs9fw8WOmlVZe_a8-Ebws02A2y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eI4lPA2UtxQrzBbAjc2JeWnfrzPMddVit_k455X6AZ7c6f0vweb9syHMIwSYobYgoiQRtHh6ZIrgz4cV94f6_J2wDUz6BzZbIo8B2sXX_tgs9fw8WOmlVZe_a8-Ebws02A2y36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5270" cy="2496820"/>
                    </a:xfrm>
                    <a:prstGeom prst="rect">
                      <a:avLst/>
                    </a:prstGeom>
                    <a:noFill/>
                    <a:ln>
                      <a:noFill/>
                    </a:ln>
                  </pic:spPr>
                </pic:pic>
              </a:graphicData>
            </a:graphic>
          </wp:inline>
        </w:drawing>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 </w:t>
      </w: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Defining Work Roles and User Classifications</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ab/>
        <w:t>The team identified three user classifications. User classification 1 (UC-1) is for users with a role which requires access to all aspects of the app.  UC-1 users may grant and revoke access to other users in UC-2 and UC-3.  The UC-2 classification is for users that require access to most areas of the app, but not all, nor can they revoke or grant access to others.  For UC-3 classification, users can interact with some data on the app and require some interaction with other users.  This project focuses primarily on two work roles (faculty and student). However, the team identified other work roles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&amp; </w:t>
      </w:r>
      <w:proofErr w:type="spellStart"/>
      <w:r w:rsidRPr="00D72416">
        <w:rPr>
          <w:rFonts w:eastAsia="Times New Roman" w:cstheme="minorHAnsi"/>
          <w:color w:val="000000"/>
        </w:rPr>
        <w:t>Pyla</w:t>
      </w:r>
      <w:proofErr w:type="spellEnd"/>
      <w:r w:rsidRPr="00D72416">
        <w:rPr>
          <w:rFonts w:eastAsia="Times New Roman" w:cstheme="minorHAnsi"/>
          <w:color w:val="000000"/>
        </w:rPr>
        <w:t>, 2019, p. 181), which include: technology coordinator, budget manager, clinical site manager, on-site preceptor, student affairs manager, and database coordinator.  </w:t>
      </w:r>
    </w:p>
    <w:p w:rsidR="00D72416" w:rsidRPr="00D72416" w:rsidRDefault="00D72416" w:rsidP="00D72416">
      <w:pPr>
        <w:spacing w:after="0" w:line="240" w:lineRule="auto"/>
        <w:rPr>
          <w:rFonts w:eastAsia="Times New Roman" w:cstheme="minorHAnsi"/>
        </w:rPr>
      </w:pPr>
    </w:p>
    <w:p w:rsidR="00D72416" w:rsidRPr="00D72416" w:rsidRDefault="00D72416" w:rsidP="00D72416">
      <w:pPr>
        <w:numPr>
          <w:ilvl w:val="0"/>
          <w:numId w:val="6"/>
        </w:numPr>
        <w:spacing w:after="0" w:line="240" w:lineRule="auto"/>
        <w:textAlignment w:val="baseline"/>
        <w:rPr>
          <w:rFonts w:eastAsia="Times New Roman" w:cstheme="minorHAnsi"/>
          <w:color w:val="000000"/>
        </w:rPr>
      </w:pPr>
      <w:r w:rsidRPr="00D72416">
        <w:rPr>
          <w:rFonts w:eastAsia="Times New Roman" w:cstheme="minorHAnsi"/>
          <w:b/>
          <w:bCs/>
          <w:color w:val="000000"/>
        </w:rPr>
        <w:t>Clinical Coordinator</w:t>
      </w:r>
      <w:r w:rsidRPr="00D72416">
        <w:rPr>
          <w:rFonts w:eastAsia="Times New Roman" w:cstheme="minorHAnsi"/>
          <w:color w:val="000000"/>
        </w:rPr>
        <w:t xml:space="preserve"> - Oversees all clinical activities, including site assignments, clinical hours, managing on-side preceptors, faculty assignments, and student schedules. (UC-1)</w:t>
      </w:r>
    </w:p>
    <w:p w:rsidR="00D72416" w:rsidRPr="00D72416" w:rsidRDefault="00D72416" w:rsidP="00D72416">
      <w:pPr>
        <w:numPr>
          <w:ilvl w:val="0"/>
          <w:numId w:val="7"/>
        </w:numPr>
        <w:spacing w:after="0" w:line="240" w:lineRule="auto"/>
        <w:textAlignment w:val="baseline"/>
        <w:rPr>
          <w:rFonts w:eastAsia="Times New Roman" w:cstheme="minorHAnsi"/>
          <w:color w:val="000000"/>
        </w:rPr>
      </w:pPr>
      <w:r w:rsidRPr="00D72416">
        <w:rPr>
          <w:rFonts w:eastAsia="Times New Roman" w:cstheme="minorHAnsi"/>
          <w:b/>
          <w:bCs/>
          <w:color w:val="000000"/>
        </w:rPr>
        <w:t>Technology Coordinator</w:t>
      </w:r>
      <w:r w:rsidRPr="00D72416">
        <w:rPr>
          <w:rFonts w:eastAsia="Times New Roman" w:cstheme="minorHAnsi"/>
          <w:color w:val="000000"/>
        </w:rPr>
        <w:t xml:space="preserve"> - Makes sure the technology is updated and working as intended.  The TC also fields questions regarding errors and app constraints. (UC-1)</w:t>
      </w:r>
    </w:p>
    <w:p w:rsidR="00D72416" w:rsidRPr="00D72416" w:rsidRDefault="00D72416" w:rsidP="00D72416">
      <w:pPr>
        <w:numPr>
          <w:ilvl w:val="0"/>
          <w:numId w:val="8"/>
        </w:numPr>
        <w:spacing w:after="0" w:line="240" w:lineRule="auto"/>
        <w:textAlignment w:val="baseline"/>
        <w:rPr>
          <w:rFonts w:eastAsia="Times New Roman" w:cstheme="minorHAnsi"/>
          <w:color w:val="000000"/>
        </w:rPr>
      </w:pPr>
      <w:r w:rsidRPr="00D72416">
        <w:rPr>
          <w:rFonts w:eastAsia="Times New Roman" w:cstheme="minorHAnsi"/>
          <w:b/>
          <w:bCs/>
          <w:color w:val="000000"/>
        </w:rPr>
        <w:t>Faculty</w:t>
      </w:r>
      <w:r w:rsidRPr="00D72416">
        <w:rPr>
          <w:rFonts w:eastAsia="Times New Roman" w:cstheme="minorHAnsi"/>
          <w:color w:val="000000"/>
        </w:rPr>
        <w:t xml:space="preserve"> - Evaluates student notes uploaded to the app, and provides feedback when appropriate.  Will grade all assignments. (UC-2)</w:t>
      </w:r>
    </w:p>
    <w:p w:rsidR="00D72416" w:rsidRPr="00D72416" w:rsidRDefault="00D72416" w:rsidP="00D72416">
      <w:pPr>
        <w:numPr>
          <w:ilvl w:val="0"/>
          <w:numId w:val="9"/>
        </w:numPr>
        <w:spacing w:after="0" w:line="240" w:lineRule="auto"/>
        <w:textAlignment w:val="baseline"/>
        <w:rPr>
          <w:rFonts w:eastAsia="Times New Roman" w:cstheme="minorHAnsi"/>
          <w:color w:val="000000"/>
        </w:rPr>
      </w:pPr>
      <w:r w:rsidRPr="00D72416">
        <w:rPr>
          <w:rFonts w:eastAsia="Times New Roman" w:cstheme="minorHAnsi"/>
          <w:b/>
          <w:bCs/>
          <w:color w:val="000000"/>
        </w:rPr>
        <w:t>Student Affairs Manager</w:t>
      </w:r>
      <w:r w:rsidRPr="00D72416">
        <w:rPr>
          <w:rFonts w:eastAsia="Times New Roman" w:cstheme="minorHAnsi"/>
          <w:color w:val="000000"/>
        </w:rPr>
        <w:t xml:space="preserve"> - Uploads student data to the app, enabling students to log into the app and ensures ease of use.  (UC-1)</w:t>
      </w:r>
    </w:p>
    <w:p w:rsidR="00D72416" w:rsidRPr="00D72416" w:rsidRDefault="00D72416" w:rsidP="00D72416">
      <w:pPr>
        <w:numPr>
          <w:ilvl w:val="0"/>
          <w:numId w:val="10"/>
        </w:numPr>
        <w:spacing w:after="0" w:line="240" w:lineRule="auto"/>
        <w:textAlignment w:val="baseline"/>
        <w:rPr>
          <w:rFonts w:eastAsia="Times New Roman" w:cstheme="minorHAnsi"/>
          <w:color w:val="000000"/>
        </w:rPr>
      </w:pPr>
      <w:r w:rsidRPr="00D72416">
        <w:rPr>
          <w:rFonts w:eastAsia="Times New Roman" w:cstheme="minorHAnsi"/>
          <w:b/>
          <w:bCs/>
          <w:color w:val="000000"/>
        </w:rPr>
        <w:t>On-site preceptor</w:t>
      </w:r>
      <w:r w:rsidRPr="00D72416">
        <w:rPr>
          <w:rFonts w:eastAsia="Times New Roman" w:cstheme="minorHAnsi"/>
          <w:color w:val="000000"/>
        </w:rPr>
        <w:t xml:space="preserve"> - Supervises students as they conduct on-site clinical experiences.  Uses the app to view rosters of students who are assigned to them.  (UC-3)</w:t>
      </w:r>
    </w:p>
    <w:p w:rsidR="00D72416" w:rsidRPr="00D72416" w:rsidRDefault="00D72416" w:rsidP="00D72416">
      <w:pPr>
        <w:numPr>
          <w:ilvl w:val="0"/>
          <w:numId w:val="11"/>
        </w:numPr>
        <w:spacing w:after="0" w:line="240" w:lineRule="auto"/>
        <w:textAlignment w:val="baseline"/>
        <w:rPr>
          <w:rFonts w:eastAsia="Times New Roman" w:cstheme="minorHAnsi"/>
          <w:color w:val="000000"/>
        </w:rPr>
      </w:pPr>
      <w:r w:rsidRPr="00D72416">
        <w:rPr>
          <w:rFonts w:eastAsia="Times New Roman" w:cstheme="minorHAnsi"/>
          <w:b/>
          <w:bCs/>
          <w:color w:val="000000"/>
        </w:rPr>
        <w:t>Budget Manager</w:t>
      </w:r>
      <w:r w:rsidRPr="00D72416">
        <w:rPr>
          <w:rFonts w:eastAsia="Times New Roman" w:cstheme="minorHAnsi"/>
          <w:color w:val="000000"/>
        </w:rPr>
        <w:t xml:space="preserve"> - Pays vendors for various services related to the app.  Also responsible for evaluating and remitting all on-site preceptor expenses.  (UC-3)</w:t>
      </w:r>
    </w:p>
    <w:p w:rsidR="00D72416" w:rsidRPr="00D72416" w:rsidRDefault="00D72416" w:rsidP="00D72416">
      <w:pPr>
        <w:numPr>
          <w:ilvl w:val="0"/>
          <w:numId w:val="12"/>
        </w:numPr>
        <w:spacing w:after="0" w:line="240" w:lineRule="auto"/>
        <w:textAlignment w:val="baseline"/>
        <w:rPr>
          <w:rFonts w:eastAsia="Times New Roman" w:cstheme="minorHAnsi"/>
          <w:color w:val="000000"/>
        </w:rPr>
      </w:pPr>
      <w:r w:rsidRPr="00D72416">
        <w:rPr>
          <w:rFonts w:eastAsia="Times New Roman" w:cstheme="minorHAnsi"/>
          <w:b/>
          <w:bCs/>
          <w:color w:val="000000"/>
        </w:rPr>
        <w:t>Database Coordinator</w:t>
      </w:r>
      <w:r w:rsidRPr="00D72416">
        <w:rPr>
          <w:rFonts w:eastAsia="Times New Roman" w:cstheme="minorHAnsi"/>
          <w:color w:val="000000"/>
        </w:rPr>
        <w:t xml:space="preserve"> - Ensures student encounter notes are being securely uploaded from app to a tracking database, enabling faculty to track student progress and patient encounters. (UC-3)</w:t>
      </w:r>
    </w:p>
    <w:p w:rsidR="00D72416" w:rsidRPr="00D72416" w:rsidRDefault="00D72416" w:rsidP="00D72416">
      <w:pPr>
        <w:numPr>
          <w:ilvl w:val="0"/>
          <w:numId w:val="13"/>
        </w:numPr>
        <w:spacing w:after="0" w:line="240" w:lineRule="auto"/>
        <w:textAlignment w:val="baseline"/>
        <w:rPr>
          <w:rFonts w:eastAsia="Times New Roman" w:cstheme="minorHAnsi"/>
          <w:color w:val="000000"/>
        </w:rPr>
      </w:pPr>
      <w:r w:rsidRPr="00D72416">
        <w:rPr>
          <w:rFonts w:eastAsia="Times New Roman" w:cstheme="minorHAnsi"/>
          <w:b/>
          <w:bCs/>
          <w:color w:val="000000"/>
        </w:rPr>
        <w:t>Student User -</w:t>
      </w:r>
      <w:r w:rsidRPr="00D72416">
        <w:rPr>
          <w:rFonts w:eastAsia="Times New Roman" w:cstheme="minorHAnsi"/>
          <w:color w:val="000000"/>
        </w:rPr>
        <w:t xml:space="preserve"> Uses the app to document their clinical experiences.  Interacts with faculty to obtain feedback and project grades.  (UC-3)</w:t>
      </w:r>
    </w:p>
    <w:p w:rsidR="00D72416" w:rsidRPr="00D72416" w:rsidRDefault="00D72416" w:rsidP="00D72416">
      <w:pPr>
        <w:spacing w:after="0" w:line="240" w:lineRule="auto"/>
        <w:rPr>
          <w:rFonts w:eastAsia="Times New Roman" w:cstheme="minorHAnsi"/>
        </w:rPr>
      </w:pPr>
      <w:bookmarkStart w:id="0" w:name="_GoBack"/>
      <w:bookmarkEnd w:id="0"/>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Flow Model</w:t>
      </w:r>
    </w:p>
    <w:p w:rsidR="00D72416" w:rsidRPr="00D72416" w:rsidRDefault="00D72416" w:rsidP="00D72416">
      <w:pPr>
        <w:spacing w:after="0" w:line="240" w:lineRule="auto"/>
        <w:rPr>
          <w:rFonts w:eastAsia="Times New Roman" w:cstheme="minorHAnsi"/>
        </w:rPr>
      </w:pPr>
      <w:r w:rsidRPr="00D72416">
        <w:rPr>
          <w:rFonts w:eastAsia="Times New Roman" w:cstheme="minorHAnsi"/>
          <w:color w:val="000000"/>
        </w:rPr>
        <w:tab/>
        <w:t xml:space="preserve">A workflow model between user roles is presented here, where you can observe “a </w:t>
      </w:r>
      <w:proofErr w:type="gramStart"/>
      <w:r w:rsidRPr="00D72416">
        <w:rPr>
          <w:rFonts w:eastAsia="Times New Roman" w:cstheme="minorHAnsi"/>
          <w:color w:val="000000"/>
        </w:rPr>
        <w:t>high level</w:t>
      </w:r>
      <w:proofErr w:type="gramEnd"/>
      <w:r w:rsidRPr="00D72416">
        <w:rPr>
          <w:rFonts w:eastAsia="Times New Roman" w:cstheme="minorHAnsi"/>
          <w:color w:val="000000"/>
        </w:rPr>
        <w:t xml:space="preserve"> view of how users in each work role and other system entities interact and communicate to get work done” (</w:t>
      </w: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and </w:t>
      </w:r>
      <w:proofErr w:type="spellStart"/>
      <w:r w:rsidRPr="00D72416">
        <w:rPr>
          <w:rFonts w:eastAsia="Times New Roman" w:cstheme="minorHAnsi"/>
          <w:color w:val="000000"/>
        </w:rPr>
        <w:t>Pyla</w:t>
      </w:r>
      <w:proofErr w:type="spellEnd"/>
      <w:r w:rsidRPr="00D72416">
        <w:rPr>
          <w:rFonts w:eastAsia="Times New Roman" w:cstheme="minorHAnsi"/>
          <w:color w:val="000000"/>
        </w:rPr>
        <w:t>, 2019, p. 187)</w:t>
      </w:r>
    </w:p>
    <w:p w:rsidR="00D72416" w:rsidRPr="00D72416" w:rsidRDefault="00D72416" w:rsidP="00D72416">
      <w:pPr>
        <w:spacing w:after="0" w:line="240" w:lineRule="auto"/>
        <w:jc w:val="center"/>
        <w:rPr>
          <w:rFonts w:eastAsia="Times New Roman" w:cstheme="minorHAnsi"/>
        </w:rPr>
      </w:pPr>
      <w:r w:rsidRPr="00D72416">
        <w:rPr>
          <w:rFonts w:eastAsia="Times New Roman" w:cstheme="minorHAnsi"/>
          <w:noProof/>
          <w:color w:val="000000"/>
          <w:bdr w:val="none" w:sz="0" w:space="0" w:color="auto" w:frame="1"/>
        </w:rPr>
        <w:drawing>
          <wp:inline distT="0" distB="0" distL="0" distR="0">
            <wp:extent cx="3848735" cy="3609975"/>
            <wp:effectExtent l="0" t="0" r="0" b="9525"/>
            <wp:docPr id="1" name="Picture 1" descr="https://lh5.googleusercontent.com/JhBULMmnHI_cLJXJrqPoIjklYV9-vfIsmKTJcmiP2fv643TA0bKuWX1-qHMorHg3X6Q5cPNiptZDUfmAUa-uB_txTFgO-vqLaqgqFJE3Nm4aC5KtejrUuz4uhIzK3aUIDhglZ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JhBULMmnHI_cLJXJrqPoIjklYV9-vfIsmKTJcmiP2fv643TA0bKuWX1-qHMorHg3X6Q5cPNiptZDUfmAUa-uB_txTFgO-vqLaqgqFJE3Nm4aC5KtejrUuz4uhIzK3aUIDhglZG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735" cy="3609975"/>
                    </a:xfrm>
                    <a:prstGeom prst="rect">
                      <a:avLst/>
                    </a:prstGeom>
                    <a:noFill/>
                    <a:ln>
                      <a:noFill/>
                    </a:ln>
                  </pic:spPr>
                </pic:pic>
              </a:graphicData>
            </a:graphic>
          </wp:inline>
        </w:drawing>
      </w:r>
    </w:p>
    <w:p w:rsidR="00D72416" w:rsidRPr="00D72416" w:rsidRDefault="00D72416" w:rsidP="00D72416">
      <w:pPr>
        <w:spacing w:after="0" w:line="240" w:lineRule="auto"/>
        <w:rPr>
          <w:rFonts w:eastAsia="Times New Roman" w:cstheme="minorHAnsi"/>
        </w:rPr>
      </w:pP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List of Questions for the Interviews:</w:t>
      </w:r>
    </w:p>
    <w:p w:rsidR="00D72416" w:rsidRPr="00D72416" w:rsidRDefault="00D72416" w:rsidP="00D72416">
      <w:pPr>
        <w:spacing w:after="0" w:line="240" w:lineRule="auto"/>
        <w:ind w:firstLine="720"/>
        <w:rPr>
          <w:rFonts w:eastAsia="Times New Roman" w:cstheme="minorHAnsi"/>
        </w:rPr>
      </w:pPr>
      <w:r w:rsidRPr="00D72416">
        <w:rPr>
          <w:rFonts w:eastAsia="Times New Roman" w:cstheme="minorHAnsi"/>
          <w:color w:val="000000"/>
        </w:rPr>
        <w:t>Some of the interview questions were adapted from Peng et al. (2016). These authors examine user perceptions of mobile health apps based on a qualitative study, which will help us to get a better understanding of the perceptions and types of questions related to mobile apps and the medical field.</w:t>
      </w:r>
    </w:p>
    <w:p w:rsidR="00D72416" w:rsidRPr="00D72416" w:rsidRDefault="00D72416" w:rsidP="00D72416">
      <w:pPr>
        <w:spacing w:after="0" w:line="240" w:lineRule="auto"/>
        <w:rPr>
          <w:rFonts w:eastAsia="Times New Roman" w:cstheme="minorHAnsi"/>
        </w:rPr>
      </w:pPr>
    </w:p>
    <w:tbl>
      <w:tblPr>
        <w:tblW w:w="9383" w:type="dxa"/>
        <w:tblCellMar>
          <w:top w:w="15" w:type="dxa"/>
          <w:left w:w="15" w:type="dxa"/>
          <w:bottom w:w="15" w:type="dxa"/>
          <w:right w:w="15" w:type="dxa"/>
        </w:tblCellMar>
        <w:tblLook w:val="04A0" w:firstRow="1" w:lastRow="0" w:firstColumn="1" w:lastColumn="0" w:noHBand="0" w:noVBand="1"/>
      </w:tblPr>
      <w:tblGrid>
        <w:gridCol w:w="9383"/>
      </w:tblGrid>
      <w:tr w:rsidR="00D72416" w:rsidRPr="00D72416" w:rsidTr="00D72416">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rsidR="00D72416" w:rsidRPr="00D72416" w:rsidRDefault="00D72416" w:rsidP="00D72416">
            <w:pPr>
              <w:spacing w:after="0" w:line="240" w:lineRule="auto"/>
              <w:jc w:val="center"/>
              <w:rPr>
                <w:rFonts w:eastAsia="Times New Roman" w:cstheme="minorHAnsi"/>
              </w:rPr>
            </w:pPr>
            <w:r w:rsidRPr="00D72416">
              <w:rPr>
                <w:rFonts w:eastAsia="Times New Roman" w:cstheme="minorHAnsi"/>
                <w:b/>
                <w:bCs/>
                <w:color w:val="000000"/>
              </w:rPr>
              <w:t>Some Interview Questions are:</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4"/>
              </w:numPr>
              <w:spacing w:after="0" w:line="240" w:lineRule="auto"/>
              <w:textAlignment w:val="baseline"/>
              <w:rPr>
                <w:rFonts w:eastAsia="Times New Roman" w:cstheme="minorHAnsi"/>
                <w:b/>
                <w:bCs/>
                <w:color w:val="000000"/>
              </w:rPr>
            </w:pPr>
            <w:r w:rsidRPr="00D72416">
              <w:rPr>
                <w:rFonts w:eastAsia="Times New Roman" w:cstheme="minorHAnsi"/>
                <w:color w:val="000000"/>
              </w:rPr>
              <w:t>Can you tell us about the kinds of mobile phone apps you typically use?</w:t>
            </w:r>
          </w:p>
        </w:tc>
      </w:tr>
      <w:tr w:rsidR="00D72416" w:rsidRPr="00D72416" w:rsidTr="00D72416">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5"/>
              </w:numPr>
              <w:spacing w:after="0" w:line="240" w:lineRule="auto"/>
              <w:textAlignment w:val="baseline"/>
              <w:rPr>
                <w:rFonts w:eastAsia="Times New Roman" w:cstheme="minorHAnsi"/>
                <w:b/>
                <w:bCs/>
                <w:color w:val="000000"/>
              </w:rPr>
            </w:pPr>
            <w:r w:rsidRPr="00D72416">
              <w:rPr>
                <w:rFonts w:eastAsia="Times New Roman" w:cstheme="minorHAnsi"/>
                <w:color w:val="000000"/>
              </w:rPr>
              <w:t>How frequently do you use them?</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6"/>
              </w:numPr>
              <w:spacing w:after="0" w:line="240" w:lineRule="auto"/>
              <w:textAlignment w:val="baseline"/>
              <w:rPr>
                <w:rFonts w:eastAsia="Times New Roman" w:cstheme="minorHAnsi"/>
                <w:b/>
                <w:bCs/>
                <w:color w:val="000000"/>
              </w:rPr>
            </w:pPr>
            <w:r w:rsidRPr="00D72416">
              <w:rPr>
                <w:rFonts w:eastAsia="Times New Roman" w:cstheme="minorHAnsi"/>
                <w:color w:val="000000"/>
              </w:rPr>
              <w:t>Do you have any medical apps on your phone?</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7"/>
              </w:numPr>
              <w:spacing w:after="0" w:line="240" w:lineRule="auto"/>
              <w:textAlignment w:val="baseline"/>
              <w:rPr>
                <w:rFonts w:eastAsia="Times New Roman" w:cstheme="minorHAnsi"/>
                <w:b/>
                <w:bCs/>
                <w:color w:val="000000"/>
              </w:rPr>
            </w:pPr>
            <w:r w:rsidRPr="00D72416">
              <w:rPr>
                <w:rFonts w:eastAsia="Times New Roman" w:cstheme="minorHAnsi"/>
                <w:color w:val="000000"/>
              </w:rPr>
              <w:t>How long ago did you download it/them?</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8"/>
              </w:numPr>
              <w:spacing w:after="0" w:line="240" w:lineRule="auto"/>
              <w:textAlignment w:val="baseline"/>
              <w:rPr>
                <w:rFonts w:eastAsia="Times New Roman" w:cstheme="minorHAnsi"/>
                <w:b/>
                <w:bCs/>
                <w:color w:val="000000"/>
              </w:rPr>
            </w:pPr>
            <w:r w:rsidRPr="00D72416">
              <w:rPr>
                <w:rFonts w:eastAsia="Times New Roman" w:cstheme="minorHAnsi"/>
                <w:color w:val="000000"/>
              </w:rPr>
              <w:t>How frequently do you use it/them?</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19"/>
              </w:numPr>
              <w:spacing w:after="0" w:line="240" w:lineRule="auto"/>
              <w:textAlignment w:val="baseline"/>
              <w:rPr>
                <w:rFonts w:eastAsia="Times New Roman" w:cstheme="minorHAnsi"/>
                <w:b/>
                <w:bCs/>
                <w:color w:val="000000"/>
              </w:rPr>
            </w:pPr>
            <w:r w:rsidRPr="00D72416">
              <w:rPr>
                <w:rFonts w:eastAsia="Times New Roman" w:cstheme="minorHAnsi"/>
                <w:color w:val="000000"/>
              </w:rPr>
              <w:t>What kind of medical/health apps do you think exist?</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20"/>
              </w:numPr>
              <w:spacing w:after="0" w:line="240" w:lineRule="auto"/>
              <w:textAlignment w:val="baseline"/>
              <w:rPr>
                <w:rFonts w:eastAsia="Times New Roman" w:cstheme="minorHAnsi"/>
                <w:b/>
                <w:bCs/>
                <w:color w:val="000000"/>
              </w:rPr>
            </w:pPr>
            <w:r w:rsidRPr="00D72416">
              <w:rPr>
                <w:rFonts w:eastAsia="Times New Roman" w:cstheme="minorHAnsi"/>
                <w:color w:val="000000"/>
              </w:rPr>
              <w:t>For everyone that uses medical apps – What do you like about the app? What are your favorite features? What do you dislike about the app? Is there anything you would like to change about it?</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21"/>
              </w:numPr>
              <w:spacing w:after="0" w:line="240" w:lineRule="auto"/>
              <w:textAlignment w:val="baseline"/>
              <w:rPr>
                <w:rFonts w:eastAsia="Times New Roman" w:cstheme="minorHAnsi"/>
                <w:b/>
                <w:bCs/>
                <w:color w:val="000000"/>
              </w:rPr>
            </w:pPr>
            <w:r w:rsidRPr="00D72416">
              <w:rPr>
                <w:rFonts w:eastAsia="Times New Roman" w:cstheme="minorHAnsi"/>
                <w:color w:val="000000"/>
              </w:rPr>
              <w:t>How has using a medical app increased your knowledge about the medical field?</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22"/>
              </w:numPr>
              <w:spacing w:after="0" w:line="240" w:lineRule="auto"/>
              <w:textAlignment w:val="baseline"/>
              <w:rPr>
                <w:rFonts w:eastAsia="Times New Roman" w:cstheme="minorHAnsi"/>
                <w:b/>
                <w:bCs/>
                <w:color w:val="000000"/>
              </w:rPr>
            </w:pPr>
            <w:r w:rsidRPr="00D72416">
              <w:rPr>
                <w:rFonts w:eastAsia="Times New Roman" w:cstheme="minorHAnsi"/>
                <w:color w:val="000000"/>
              </w:rPr>
              <w:t>How has using a medical app supported you in your workplace? In what ways?</w:t>
            </w:r>
          </w:p>
        </w:tc>
      </w:tr>
      <w:tr w:rsidR="00D72416" w:rsidRPr="00D72416" w:rsidTr="00D724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2416" w:rsidRPr="00D72416" w:rsidRDefault="00D72416" w:rsidP="00D72416">
            <w:pPr>
              <w:numPr>
                <w:ilvl w:val="0"/>
                <w:numId w:val="23"/>
              </w:numPr>
              <w:spacing w:after="0" w:line="240" w:lineRule="auto"/>
              <w:textAlignment w:val="baseline"/>
              <w:rPr>
                <w:rFonts w:eastAsia="Times New Roman" w:cstheme="minorHAnsi"/>
                <w:b/>
                <w:bCs/>
                <w:color w:val="000000"/>
              </w:rPr>
            </w:pPr>
            <w:r w:rsidRPr="00D72416">
              <w:rPr>
                <w:rFonts w:eastAsia="Times New Roman" w:cstheme="minorHAnsi"/>
                <w:color w:val="000000"/>
              </w:rPr>
              <w:t>If you don’t use any medical app, how do you think a clinical mobile app will benefit the student practitioners?</w:t>
            </w:r>
          </w:p>
        </w:tc>
      </w:tr>
    </w:tbl>
    <w:p w:rsidR="00D72416" w:rsidRDefault="00D72416" w:rsidP="00D72416">
      <w:pPr>
        <w:spacing w:after="0" w:line="240" w:lineRule="auto"/>
        <w:rPr>
          <w:rFonts w:eastAsia="Times New Roman" w:cstheme="minorHAnsi"/>
          <w:b/>
          <w:bCs/>
          <w:color w:val="000000"/>
        </w:rPr>
      </w:pPr>
    </w:p>
    <w:p w:rsidR="00D72416" w:rsidRDefault="00D72416" w:rsidP="00D72416">
      <w:pPr>
        <w:spacing w:after="0" w:line="240" w:lineRule="auto"/>
        <w:rPr>
          <w:rFonts w:eastAsia="Times New Roman" w:cstheme="minorHAnsi"/>
          <w:b/>
          <w:bCs/>
          <w:color w:val="000000"/>
        </w:rPr>
      </w:pPr>
    </w:p>
    <w:p w:rsidR="00D72416" w:rsidRPr="00D72416" w:rsidRDefault="00D72416" w:rsidP="00D72416">
      <w:pPr>
        <w:spacing w:after="0" w:line="240" w:lineRule="auto"/>
        <w:rPr>
          <w:rFonts w:eastAsia="Times New Roman" w:cstheme="minorHAnsi"/>
        </w:rPr>
      </w:pPr>
      <w:r w:rsidRPr="00D72416">
        <w:rPr>
          <w:rFonts w:eastAsia="Times New Roman" w:cstheme="minorHAnsi"/>
          <w:b/>
          <w:bCs/>
          <w:color w:val="000000"/>
        </w:rPr>
        <w:t>References</w:t>
      </w:r>
      <w:r w:rsidRPr="00D72416">
        <w:rPr>
          <w:rFonts w:eastAsia="Times New Roman" w:cstheme="minorHAnsi"/>
          <w:b/>
          <w:bCs/>
          <w:color w:val="FF0000"/>
        </w:rPr>
        <w:t> </w:t>
      </w:r>
    </w:p>
    <w:p w:rsidR="00D72416" w:rsidRPr="00D72416" w:rsidRDefault="00D72416" w:rsidP="00D72416">
      <w:pPr>
        <w:spacing w:after="0" w:line="240" w:lineRule="auto"/>
        <w:ind w:left="720" w:hanging="720"/>
        <w:rPr>
          <w:rFonts w:eastAsia="Times New Roman" w:cstheme="minorHAnsi"/>
        </w:rPr>
      </w:pPr>
      <w:proofErr w:type="spellStart"/>
      <w:r w:rsidRPr="00D72416">
        <w:rPr>
          <w:rFonts w:eastAsia="Times New Roman" w:cstheme="minorHAnsi"/>
          <w:color w:val="000000"/>
        </w:rPr>
        <w:t>Hartson</w:t>
      </w:r>
      <w:proofErr w:type="spellEnd"/>
      <w:r w:rsidRPr="00D72416">
        <w:rPr>
          <w:rFonts w:eastAsia="Times New Roman" w:cstheme="minorHAnsi"/>
          <w:color w:val="000000"/>
        </w:rPr>
        <w:t xml:space="preserve">, R., &amp; </w:t>
      </w:r>
      <w:proofErr w:type="spellStart"/>
      <w:r w:rsidRPr="00D72416">
        <w:rPr>
          <w:rFonts w:eastAsia="Times New Roman" w:cstheme="minorHAnsi"/>
          <w:color w:val="000000"/>
        </w:rPr>
        <w:t>Pyla</w:t>
      </w:r>
      <w:proofErr w:type="spellEnd"/>
      <w:r w:rsidRPr="00D72416">
        <w:rPr>
          <w:rFonts w:eastAsia="Times New Roman" w:cstheme="minorHAnsi"/>
          <w:color w:val="000000"/>
        </w:rPr>
        <w:t xml:space="preserve">, P. (2019).  </w:t>
      </w:r>
      <w:r w:rsidRPr="00D72416">
        <w:rPr>
          <w:rFonts w:eastAsia="Times New Roman" w:cstheme="minorHAnsi"/>
          <w:i/>
          <w:iCs/>
          <w:color w:val="000000"/>
        </w:rPr>
        <w:t>The UX Book: Agile UX design for a quality user experience</w:t>
      </w:r>
      <w:r w:rsidRPr="00D72416">
        <w:rPr>
          <w:rFonts w:eastAsia="Times New Roman" w:cstheme="minorHAnsi"/>
          <w:color w:val="000000"/>
        </w:rPr>
        <w:t>, 2nd ed. Cambridge, MA: Morgan Kaufmann.</w:t>
      </w:r>
    </w:p>
    <w:p w:rsidR="00D72416" w:rsidRDefault="00D72416" w:rsidP="00D72416">
      <w:pPr>
        <w:spacing w:after="0" w:line="240" w:lineRule="auto"/>
        <w:ind w:left="720" w:hanging="720"/>
        <w:rPr>
          <w:rFonts w:eastAsia="Times New Roman" w:cstheme="minorHAnsi"/>
          <w:color w:val="000000"/>
        </w:rPr>
      </w:pPr>
    </w:p>
    <w:p w:rsidR="00D72416" w:rsidRPr="00D72416" w:rsidRDefault="00D72416" w:rsidP="00D72416">
      <w:pPr>
        <w:spacing w:after="0" w:line="240" w:lineRule="auto"/>
        <w:ind w:left="720" w:hanging="720"/>
        <w:rPr>
          <w:rFonts w:eastAsia="Times New Roman" w:cstheme="minorHAnsi"/>
        </w:rPr>
      </w:pPr>
      <w:r w:rsidRPr="00D72416">
        <w:rPr>
          <w:rFonts w:eastAsia="Times New Roman" w:cstheme="minorHAnsi"/>
          <w:color w:val="000000"/>
        </w:rPr>
        <w:t xml:space="preserve">O'Connor, S., &amp; Andrews, T. (2018, 2018/10/01/). Smartphones and mobile applications (apps) in clinical nursing education: A student perspective. </w:t>
      </w:r>
      <w:r w:rsidRPr="00D72416">
        <w:rPr>
          <w:rFonts w:eastAsia="Times New Roman" w:cstheme="minorHAnsi"/>
          <w:i/>
          <w:iCs/>
          <w:color w:val="000000"/>
        </w:rPr>
        <w:t>Nurse Education Today, 69</w:t>
      </w:r>
      <w:r w:rsidRPr="00D72416">
        <w:rPr>
          <w:rFonts w:eastAsia="Times New Roman" w:cstheme="minorHAnsi"/>
          <w:color w:val="000000"/>
        </w:rPr>
        <w:t>, 172-178.</w:t>
      </w:r>
      <w:hyperlink r:id="rId7" w:history="1">
        <w:r w:rsidRPr="00D72416">
          <w:rPr>
            <w:rFonts w:eastAsia="Times New Roman" w:cstheme="minorHAnsi"/>
            <w:color w:val="000000"/>
            <w:u w:val="single"/>
          </w:rPr>
          <w:t xml:space="preserve"> </w:t>
        </w:r>
        <w:r w:rsidRPr="00D72416">
          <w:rPr>
            <w:rFonts w:eastAsia="Times New Roman" w:cstheme="minorHAnsi"/>
            <w:color w:val="1155CC"/>
            <w:u w:val="single"/>
          </w:rPr>
          <w:t>https://doi.org/https://doi.org/10.1016/j.nedt.2018.07.013</w:t>
        </w:r>
      </w:hyperlink>
      <w:r w:rsidRPr="00D72416">
        <w:rPr>
          <w:rFonts w:eastAsia="Times New Roman" w:cstheme="minorHAnsi"/>
          <w:color w:val="000000"/>
        </w:rPr>
        <w:t> </w:t>
      </w:r>
    </w:p>
    <w:p w:rsidR="00D72416" w:rsidRDefault="00D72416" w:rsidP="00D72416">
      <w:pPr>
        <w:spacing w:after="0" w:line="240" w:lineRule="auto"/>
        <w:ind w:left="720" w:hanging="720"/>
        <w:rPr>
          <w:rFonts w:eastAsia="Times New Roman" w:cstheme="minorHAnsi"/>
          <w:color w:val="333333"/>
          <w:shd w:val="clear" w:color="auto" w:fill="FFFFFF"/>
        </w:rPr>
      </w:pPr>
    </w:p>
    <w:p w:rsidR="00D72416" w:rsidRPr="00D72416" w:rsidRDefault="00D72416" w:rsidP="00D72416">
      <w:pPr>
        <w:spacing w:after="0" w:line="240" w:lineRule="auto"/>
        <w:ind w:left="720" w:hanging="720"/>
        <w:rPr>
          <w:rFonts w:cstheme="minorHAnsi"/>
        </w:rPr>
      </w:pPr>
      <w:r w:rsidRPr="00D72416">
        <w:rPr>
          <w:rFonts w:eastAsia="Times New Roman" w:cstheme="minorHAnsi"/>
          <w:color w:val="333333"/>
          <w:shd w:val="clear" w:color="auto" w:fill="FFFFFF"/>
        </w:rPr>
        <w:t xml:space="preserve">Peng, W., </w:t>
      </w:r>
      <w:proofErr w:type="spellStart"/>
      <w:r w:rsidRPr="00D72416">
        <w:rPr>
          <w:rFonts w:eastAsia="Times New Roman" w:cstheme="minorHAnsi"/>
          <w:color w:val="333333"/>
          <w:shd w:val="clear" w:color="auto" w:fill="FFFFFF"/>
        </w:rPr>
        <w:t>Kanthawala</w:t>
      </w:r>
      <w:proofErr w:type="spellEnd"/>
      <w:r w:rsidRPr="00D72416">
        <w:rPr>
          <w:rFonts w:eastAsia="Times New Roman" w:cstheme="minorHAnsi"/>
          <w:color w:val="333333"/>
          <w:shd w:val="clear" w:color="auto" w:fill="FFFFFF"/>
        </w:rPr>
        <w:t xml:space="preserve">, S., Yuan, S. </w:t>
      </w:r>
      <w:r w:rsidRPr="00D72416">
        <w:rPr>
          <w:rFonts w:eastAsia="Times New Roman" w:cstheme="minorHAnsi"/>
          <w:i/>
          <w:iCs/>
          <w:color w:val="333333"/>
        </w:rPr>
        <w:t>et al.</w:t>
      </w:r>
      <w:r w:rsidRPr="00D72416">
        <w:rPr>
          <w:rFonts w:eastAsia="Times New Roman" w:cstheme="minorHAnsi"/>
          <w:color w:val="333333"/>
          <w:shd w:val="clear" w:color="auto" w:fill="FFFFFF"/>
        </w:rPr>
        <w:t xml:space="preserve"> A qualitative study of user perceptions of mobile health apps. </w:t>
      </w:r>
      <w:r w:rsidRPr="00D72416">
        <w:rPr>
          <w:rFonts w:eastAsia="Times New Roman" w:cstheme="minorHAnsi"/>
          <w:i/>
          <w:iCs/>
          <w:color w:val="333333"/>
        </w:rPr>
        <w:t>BMC Public Health</w:t>
      </w:r>
      <w:r w:rsidRPr="00D72416">
        <w:rPr>
          <w:rFonts w:eastAsia="Times New Roman" w:cstheme="minorHAnsi"/>
          <w:color w:val="333333"/>
          <w:shd w:val="clear" w:color="auto" w:fill="FFFFFF"/>
        </w:rPr>
        <w:t xml:space="preserve"> </w:t>
      </w:r>
      <w:r w:rsidRPr="00D72416">
        <w:rPr>
          <w:rFonts w:eastAsia="Times New Roman" w:cstheme="minorHAnsi"/>
          <w:color w:val="333333"/>
        </w:rPr>
        <w:t xml:space="preserve">16, </w:t>
      </w:r>
      <w:r w:rsidRPr="00D72416">
        <w:rPr>
          <w:rFonts w:eastAsia="Times New Roman" w:cstheme="minorHAnsi"/>
          <w:color w:val="333333"/>
          <w:shd w:val="clear" w:color="auto" w:fill="FFFFFF"/>
        </w:rPr>
        <w:t xml:space="preserve">1158 (2016). </w:t>
      </w:r>
      <w:hyperlink r:id="rId8" w:history="1">
        <w:r w:rsidRPr="00D72416">
          <w:rPr>
            <w:rFonts w:eastAsia="Times New Roman" w:cstheme="minorHAnsi"/>
            <w:color w:val="1155CC"/>
            <w:u w:val="single"/>
            <w:shd w:val="clear" w:color="auto" w:fill="FFFFFF"/>
          </w:rPr>
          <w:t>https://doi.org/10.1186/s12889-016-3808-0</w:t>
        </w:r>
      </w:hyperlink>
    </w:p>
    <w:sectPr w:rsidR="00D72416" w:rsidRPr="00D7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171"/>
    <w:multiLevelType w:val="multilevel"/>
    <w:tmpl w:val="E960A1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21937"/>
    <w:multiLevelType w:val="multilevel"/>
    <w:tmpl w:val="F70C1E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652E"/>
    <w:multiLevelType w:val="multilevel"/>
    <w:tmpl w:val="D5FA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D591A"/>
    <w:multiLevelType w:val="multilevel"/>
    <w:tmpl w:val="0BDAF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F23C6"/>
    <w:multiLevelType w:val="multilevel"/>
    <w:tmpl w:val="47A0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A62C7"/>
    <w:multiLevelType w:val="multilevel"/>
    <w:tmpl w:val="50DA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74FAF"/>
    <w:multiLevelType w:val="multilevel"/>
    <w:tmpl w:val="63ECB1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04584"/>
    <w:multiLevelType w:val="multilevel"/>
    <w:tmpl w:val="2C4C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8760A"/>
    <w:multiLevelType w:val="multilevel"/>
    <w:tmpl w:val="3DC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07BFC"/>
    <w:multiLevelType w:val="multilevel"/>
    <w:tmpl w:val="6FEC17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64937"/>
    <w:multiLevelType w:val="multilevel"/>
    <w:tmpl w:val="24E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15094"/>
    <w:multiLevelType w:val="multilevel"/>
    <w:tmpl w:val="034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516F9"/>
    <w:multiLevelType w:val="multilevel"/>
    <w:tmpl w:val="F35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1770E"/>
    <w:multiLevelType w:val="multilevel"/>
    <w:tmpl w:val="629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B4EB7"/>
    <w:multiLevelType w:val="multilevel"/>
    <w:tmpl w:val="0A908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D0D9B"/>
    <w:multiLevelType w:val="multilevel"/>
    <w:tmpl w:val="562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5A3DAD"/>
    <w:multiLevelType w:val="multilevel"/>
    <w:tmpl w:val="8CF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5374B8"/>
    <w:multiLevelType w:val="multilevel"/>
    <w:tmpl w:val="ECB0B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886128"/>
    <w:multiLevelType w:val="multilevel"/>
    <w:tmpl w:val="FA5060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74BA6"/>
    <w:multiLevelType w:val="multilevel"/>
    <w:tmpl w:val="BE74F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0345D3"/>
    <w:multiLevelType w:val="multilevel"/>
    <w:tmpl w:val="F19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10857"/>
    <w:multiLevelType w:val="multilevel"/>
    <w:tmpl w:val="4AEA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5D4D01"/>
    <w:multiLevelType w:val="multilevel"/>
    <w:tmpl w:val="A74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2"/>
  </w:num>
  <w:num w:numId="4">
    <w:abstractNumId w:val="2"/>
  </w:num>
  <w:num w:numId="5">
    <w:abstractNumId w:val="7"/>
  </w:num>
  <w:num w:numId="6">
    <w:abstractNumId w:val="12"/>
  </w:num>
  <w:num w:numId="7">
    <w:abstractNumId w:val="20"/>
  </w:num>
  <w:num w:numId="8">
    <w:abstractNumId w:val="13"/>
  </w:num>
  <w:num w:numId="9">
    <w:abstractNumId w:val="11"/>
  </w:num>
  <w:num w:numId="10">
    <w:abstractNumId w:val="4"/>
  </w:num>
  <w:num w:numId="11">
    <w:abstractNumId w:val="15"/>
  </w:num>
  <w:num w:numId="12">
    <w:abstractNumId w:val="8"/>
  </w:num>
  <w:num w:numId="13">
    <w:abstractNumId w:val="10"/>
  </w:num>
  <w:num w:numId="14">
    <w:abstractNumId w:val="21"/>
  </w:num>
  <w:num w:numId="15">
    <w:abstractNumId w:val="3"/>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16"/>
    <w:rsid w:val="00D7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B5A4"/>
  <w15:chartTrackingRefBased/>
  <w15:docId w15:val="{92A50FA3-0E76-4C96-A0EC-0998ECF7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72416"/>
  </w:style>
  <w:style w:type="character" w:styleId="Hyperlink">
    <w:name w:val="Hyperlink"/>
    <w:basedOn w:val="DefaultParagraphFont"/>
    <w:uiPriority w:val="99"/>
    <w:semiHidden/>
    <w:unhideWhenUsed/>
    <w:rsid w:val="00D72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9-016-3808-0" TargetMode="External"/><Relationship Id="rId3" Type="http://schemas.openxmlformats.org/officeDocument/2006/relationships/settings" Target="settings.xml"/><Relationship Id="rId7" Type="http://schemas.openxmlformats.org/officeDocument/2006/relationships/hyperlink" Target="https://doi.org/https:/doi.org/10.1016/j.nedt.2018.07.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Wix</dc:creator>
  <cp:keywords/>
  <dc:description/>
  <cp:lastModifiedBy>Alison Wix</cp:lastModifiedBy>
  <cp:revision>1</cp:revision>
  <dcterms:created xsi:type="dcterms:W3CDTF">2021-05-25T06:34:00Z</dcterms:created>
  <dcterms:modified xsi:type="dcterms:W3CDTF">2021-05-25T06:37:00Z</dcterms:modified>
</cp:coreProperties>
</file>